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FCC5" w14:textId="2489C033" w:rsidR="00F9053F" w:rsidRDefault="003F72F6" w:rsidP="00EC5CF5">
      <w:pPr>
        <w:spacing w:after="0" w:line="240" w:lineRule="auto"/>
        <w:rPr>
          <w:b/>
          <w:bCs/>
          <w:sz w:val="24"/>
          <w:szCs w:val="24"/>
        </w:rPr>
      </w:pPr>
      <w:r w:rsidRPr="00681762">
        <w:rPr>
          <w:b/>
          <w:bCs/>
          <w:sz w:val="24"/>
          <w:szCs w:val="24"/>
        </w:rPr>
        <w:t xml:space="preserve">Norwell Floodplain ZBL Update, per </w:t>
      </w:r>
      <w:r w:rsidR="000E60BE">
        <w:rPr>
          <w:b/>
          <w:bCs/>
          <w:sz w:val="24"/>
          <w:szCs w:val="24"/>
        </w:rPr>
        <w:t>FEMA/</w:t>
      </w:r>
      <w:r w:rsidRPr="00681762">
        <w:rPr>
          <w:b/>
          <w:bCs/>
          <w:sz w:val="24"/>
          <w:szCs w:val="24"/>
        </w:rPr>
        <w:t>DCR Requirements</w:t>
      </w:r>
      <w:r w:rsidRPr="00681762">
        <w:rPr>
          <w:b/>
          <w:bCs/>
          <w:sz w:val="24"/>
          <w:szCs w:val="24"/>
        </w:rPr>
        <w:tab/>
      </w:r>
      <w:r w:rsidR="00EC5CF5">
        <w:rPr>
          <w:b/>
          <w:bCs/>
          <w:sz w:val="24"/>
          <w:szCs w:val="24"/>
        </w:rPr>
        <w:t xml:space="preserve">   </w:t>
      </w:r>
      <w:r w:rsidR="00401D63">
        <w:rPr>
          <w:b/>
          <w:bCs/>
          <w:sz w:val="24"/>
          <w:szCs w:val="24"/>
        </w:rPr>
        <w:t xml:space="preserve">PB Voted </w:t>
      </w:r>
      <w:r w:rsidR="00EC5CF5">
        <w:rPr>
          <w:b/>
          <w:bCs/>
          <w:sz w:val="24"/>
          <w:szCs w:val="24"/>
        </w:rPr>
        <w:t xml:space="preserve">           </w:t>
      </w:r>
      <w:r w:rsidR="00401D63">
        <w:rPr>
          <w:b/>
          <w:bCs/>
          <w:sz w:val="24"/>
          <w:szCs w:val="24"/>
        </w:rPr>
        <w:t>1-</w:t>
      </w:r>
      <w:r w:rsidR="00B81BA7">
        <w:rPr>
          <w:b/>
          <w:bCs/>
          <w:sz w:val="24"/>
          <w:szCs w:val="24"/>
        </w:rPr>
        <w:t>17</w:t>
      </w:r>
      <w:r w:rsidR="00401D63">
        <w:rPr>
          <w:b/>
          <w:bCs/>
          <w:sz w:val="24"/>
          <w:szCs w:val="24"/>
        </w:rPr>
        <w:t>-2</w:t>
      </w:r>
      <w:r w:rsidR="00B81BA7">
        <w:rPr>
          <w:b/>
          <w:bCs/>
          <w:sz w:val="24"/>
          <w:szCs w:val="24"/>
        </w:rPr>
        <w:t>4</w:t>
      </w:r>
    </w:p>
    <w:p w14:paraId="11199E88" w14:textId="5FAC0735" w:rsidR="00EC5CF5" w:rsidRDefault="00EC5CF5" w:rsidP="00EC5CF5">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SB Referred:      1.24.24 </w:t>
      </w:r>
    </w:p>
    <w:p w14:paraId="16692014" w14:textId="731B7A32" w:rsidR="00EC5CF5" w:rsidRDefault="00EC5CF5" w:rsidP="00EC5CF5">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Public Hearing: 2.15.24</w:t>
      </w:r>
    </w:p>
    <w:p w14:paraId="4DDE3878" w14:textId="729C85E9" w:rsidR="003F72F6" w:rsidRDefault="003F72F6">
      <w:r>
        <w:t xml:space="preserve">To see if </w:t>
      </w:r>
      <w:proofErr w:type="gramStart"/>
      <w:r>
        <w:t>Town</w:t>
      </w:r>
      <w:proofErr w:type="gramEnd"/>
      <w:r>
        <w:t xml:space="preserve"> Meeting will vote to amend the Norwell Code, Chapter 201. Zoning. Part 4. Special Regulations. Article 18. Floodplain, Watershed and Wetlands Protection District,</w:t>
      </w:r>
      <w:r w:rsidR="000E60BE">
        <w:t xml:space="preserve"> in order</w:t>
      </w:r>
      <w:r>
        <w:t xml:space="preserve"> </w:t>
      </w:r>
      <w:r w:rsidR="006872EF">
        <w:t>to adopt requirements imposed by FEMA</w:t>
      </w:r>
      <w:r w:rsidR="000E60BE">
        <w:t xml:space="preserve"> and DCR</w:t>
      </w:r>
      <w:r w:rsidR="006872EF">
        <w:t xml:space="preserve">, </w:t>
      </w:r>
      <w:r>
        <w:t>as follows:</w:t>
      </w:r>
    </w:p>
    <w:p w14:paraId="02A1847B" w14:textId="435A6186" w:rsidR="006872EF" w:rsidRDefault="006872EF" w:rsidP="006872EF">
      <w:r>
        <w:t>1.</w:t>
      </w:r>
      <w:r>
        <w:tab/>
      </w:r>
      <w:r w:rsidRPr="006872EF">
        <w:rPr>
          <w:b/>
          <w:bCs/>
        </w:rPr>
        <w:t>To delete §201-18-1. Designation of District. A., which provides as follows:</w:t>
      </w:r>
    </w:p>
    <w:p w14:paraId="2AF1E03B" w14:textId="5C198C9F" w:rsidR="006872EF" w:rsidRDefault="006872EF" w:rsidP="006872EF">
      <w:pPr>
        <w:ind w:left="1440" w:hanging="720"/>
      </w:pPr>
      <w:r>
        <w:t>A.</w:t>
      </w:r>
      <w:r>
        <w:tab/>
      </w:r>
      <w:r>
        <w:rPr>
          <w:rFonts w:ascii="Arial" w:hAnsi="Arial" w:cs="Arial"/>
          <w:color w:val="000000"/>
          <w:sz w:val="21"/>
          <w:szCs w:val="21"/>
        </w:rPr>
        <w:t>Floodplain, Watershed and Wetlands Protection District (hereinafter the "District") shall include all land designated as such and shown and delineated on a set of maps of the Town of Norwell entitled "Town of Norwell, Wetlands Maps," dated April 5, 1974, by Moore Survey &amp; Mapping Corporation, Shrewsbury, Massachusetts, with amendment adopted March 9, 1981, as shown on a plan entitled "Plan of 1981 Amendment to Town of Norwell Wetlands Maps," dated January 5, 1981, by Bradford Saivetz &amp; Associates, Inc., Braintree, Massachusetts. The District includes all special flood hazard areas within the Town of Norwell designated as Zone A and AE on the Plymouth County Flood Insurance Rate Map (FIRM) issued by the Federal Emergency Management Agency (FEMA) for the administration of the National Flood Insurance Program (NFIP). The map panels of the Plymouth County FIRM that are wholly or partially within the Town of Norwell are panel numbers 25023C0092K, 25023C00941K, 25023C0103K, 25023C0104K, 25023C0108L, 25023C0111K, 25023C0112K, 25023C0113K, 25023C0114K, 25023C0116K, 25023C0117L, 25023C0118K, 25023C0206K and 25023C0207K dated July 6, 2021, and panel number 25023C0119K dated November 4, 2016. The exact boundaries of the district may be defined by the one-hundred-year base flood elevations shown on the FIRM and further defined by the Plymouth County Flood Insurance Study (FIS) report dated July 6, 2021. The FIRM and FIS report are incorporated herein by reference and are on file with the Town Clerk. In case of a conflict, the more restrictive interpretation shall apply.</w:t>
      </w:r>
    </w:p>
    <w:p w14:paraId="10180F30" w14:textId="41FEBB72" w:rsidR="006872EF" w:rsidRDefault="006872EF" w:rsidP="006872EF">
      <w:r>
        <w:tab/>
        <w:t>and to substitute the following, in order to include updated FIRM information:</w:t>
      </w:r>
    </w:p>
    <w:p w14:paraId="45886E26" w14:textId="236C7C8E" w:rsidR="0073327F" w:rsidRPr="0073327F" w:rsidRDefault="006872EF" w:rsidP="0073327F">
      <w:pPr>
        <w:pStyle w:val="ListParagraph"/>
        <w:numPr>
          <w:ilvl w:val="0"/>
          <w:numId w:val="5"/>
        </w:numPr>
        <w:spacing w:line="252" w:lineRule="auto"/>
        <w:rPr>
          <w:rFonts w:eastAsia="Times New Roman"/>
        </w:rPr>
      </w:pPr>
      <w:r>
        <w:rPr>
          <w:rFonts w:ascii="Arial" w:hAnsi="Arial" w:cs="Arial"/>
          <w:color w:val="000000"/>
          <w:sz w:val="21"/>
          <w:szCs w:val="21"/>
        </w:rPr>
        <w:t xml:space="preserve">Floodplain, Watershed and Wetlands Protection District (hereinafter the "District") shall include all land designated as such and shown and delineated on a set of maps of the Town of Norwell entitled "Town of Norwell, Wetlands Maps," dated April 5, 1974, by Moore Survey &amp; Mapping Corporation, Shrewsbury, Massachusetts, with amendment adopted March 9, 1981, as shown on a plan entitled "Plan of 1981 Amendment to Town of Norwell Wetlands Maps," dated January 5, 1981, by Bradford Saivetz &amp; Associates, Inc., Braintree, Massachusetts. The District includes all special flood hazard areas within the Town of Norwell designated as Zone A and AE on the Plymouth County Flood Insurance Rate Map (FIRM) issued by the Federal Emergency Management Agency (FEMA) for the administration of the National Flood Insurance Program (NFIP). </w:t>
      </w:r>
      <w:r w:rsidRPr="00433DC2">
        <w:rPr>
          <w:rFonts w:ascii="Arial" w:hAnsi="Arial" w:cs="Arial"/>
          <w:color w:val="000000"/>
          <w:sz w:val="21"/>
          <w:szCs w:val="21"/>
        </w:rPr>
        <w:t>The map panels of the Plymouth County FIRM that are wholly or partially within the Town of Norwell are panel numbers</w:t>
      </w:r>
      <w:r w:rsidR="0073327F" w:rsidRPr="0073327F">
        <w:rPr>
          <w:rFonts w:ascii="Arial" w:eastAsia="Times New Roman" w:hAnsi="Arial" w:cs="Arial"/>
          <w:color w:val="000000"/>
          <w:sz w:val="21"/>
          <w:szCs w:val="21"/>
        </w:rPr>
        <w:t xml:space="preserve"> </w:t>
      </w:r>
      <w:r w:rsidR="0073327F">
        <w:rPr>
          <w:rFonts w:ascii="Arial" w:eastAsia="Times New Roman" w:hAnsi="Arial" w:cs="Arial"/>
          <w:color w:val="000000"/>
          <w:sz w:val="21"/>
          <w:szCs w:val="21"/>
        </w:rPr>
        <w:t>25023C0094K, 25023C0104K, 25023C0108L, 25023C0112K, 25023C0113K, 25023C0114K, 25023C0116K, 25023C0117L, 25023C0118K, 25023C0206K and 25023C0207K dated July 6, 2021, and panel number 25023C0119K dated November 4, 2016, and panels 25023C0092L, 25023C0103L and 25023C0111L dated July 3, 2024. A panel  spreadsheet is set forth below:</w:t>
      </w:r>
    </w:p>
    <w:p w14:paraId="73DBB7F8" w14:textId="77777777" w:rsidR="0073327F" w:rsidRDefault="0073327F" w:rsidP="0073327F">
      <w:pPr>
        <w:pStyle w:val="ListParagraph"/>
        <w:spacing w:line="252" w:lineRule="auto"/>
        <w:ind w:left="1080"/>
        <w:rPr>
          <w:rFonts w:ascii="Arial" w:eastAsia="Times New Roman" w:hAnsi="Arial" w:cs="Arial"/>
          <w:color w:val="000000"/>
          <w:sz w:val="21"/>
          <w:szCs w:val="21"/>
        </w:rPr>
      </w:pPr>
    </w:p>
    <w:p w14:paraId="239018C7" w14:textId="77777777" w:rsidR="0073327F" w:rsidRDefault="0073327F" w:rsidP="0073327F">
      <w:pPr>
        <w:pStyle w:val="ListParagraph"/>
        <w:spacing w:line="252" w:lineRule="auto"/>
        <w:ind w:left="1080"/>
        <w:rPr>
          <w:rFonts w:ascii="Arial" w:eastAsia="Times New Roman" w:hAnsi="Arial" w:cs="Arial"/>
          <w:color w:val="000000"/>
          <w:sz w:val="21"/>
          <w:szCs w:val="21"/>
        </w:rPr>
      </w:pPr>
    </w:p>
    <w:p w14:paraId="0A369C49" w14:textId="77777777" w:rsidR="0073327F" w:rsidRDefault="0073327F" w:rsidP="0073327F"/>
    <w:tbl>
      <w:tblPr>
        <w:tblW w:w="5600" w:type="dxa"/>
        <w:tblCellMar>
          <w:left w:w="0" w:type="dxa"/>
          <w:right w:w="0" w:type="dxa"/>
        </w:tblCellMar>
        <w:tblLook w:val="04A0" w:firstRow="1" w:lastRow="0" w:firstColumn="1" w:lastColumn="0" w:noHBand="0" w:noVBand="1"/>
      </w:tblPr>
      <w:tblGrid>
        <w:gridCol w:w="1400"/>
        <w:gridCol w:w="1180"/>
        <w:gridCol w:w="960"/>
        <w:gridCol w:w="2060"/>
      </w:tblGrid>
      <w:tr w:rsidR="0073327F" w14:paraId="17B174E5" w14:textId="77777777" w:rsidTr="0073327F">
        <w:trPr>
          <w:trHeight w:val="300"/>
        </w:trPr>
        <w:tc>
          <w:tcPr>
            <w:tcW w:w="1400" w:type="dxa"/>
            <w:noWrap/>
            <w:tcMar>
              <w:top w:w="0" w:type="dxa"/>
              <w:left w:w="108" w:type="dxa"/>
              <w:bottom w:w="0" w:type="dxa"/>
              <w:right w:w="108" w:type="dxa"/>
            </w:tcMar>
            <w:vAlign w:val="bottom"/>
            <w:hideMark/>
          </w:tcPr>
          <w:p w14:paraId="6C165FA7" w14:textId="77777777" w:rsidR="0073327F" w:rsidRDefault="0073327F" w:rsidP="0073327F">
            <w:pPr>
              <w:spacing w:line="240" w:lineRule="auto"/>
              <w:rPr>
                <w:color w:val="000000"/>
              </w:rPr>
            </w:pPr>
            <w:r>
              <w:rPr>
                <w:color w:val="000000"/>
              </w:rPr>
              <w:t>Community ID</w:t>
            </w:r>
          </w:p>
        </w:tc>
        <w:tc>
          <w:tcPr>
            <w:tcW w:w="1180" w:type="dxa"/>
            <w:noWrap/>
            <w:tcMar>
              <w:top w:w="0" w:type="dxa"/>
              <w:left w:w="108" w:type="dxa"/>
              <w:bottom w:w="0" w:type="dxa"/>
              <w:right w:w="108" w:type="dxa"/>
            </w:tcMar>
            <w:vAlign w:val="bottom"/>
            <w:hideMark/>
          </w:tcPr>
          <w:p w14:paraId="31608048" w14:textId="77777777" w:rsidR="0073327F" w:rsidRDefault="0073327F" w:rsidP="0073327F">
            <w:pPr>
              <w:spacing w:line="240" w:lineRule="auto"/>
              <w:jc w:val="center"/>
              <w:rPr>
                <w:color w:val="000000"/>
              </w:rPr>
            </w:pPr>
            <w:r>
              <w:rPr>
                <w:color w:val="000000"/>
              </w:rPr>
              <w:t>Panel</w:t>
            </w:r>
          </w:p>
        </w:tc>
        <w:tc>
          <w:tcPr>
            <w:tcW w:w="960" w:type="dxa"/>
            <w:noWrap/>
            <w:tcMar>
              <w:top w:w="0" w:type="dxa"/>
              <w:left w:w="108" w:type="dxa"/>
              <w:bottom w:w="0" w:type="dxa"/>
              <w:right w:w="108" w:type="dxa"/>
            </w:tcMar>
            <w:vAlign w:val="bottom"/>
            <w:hideMark/>
          </w:tcPr>
          <w:p w14:paraId="5E261250" w14:textId="77777777" w:rsidR="0073327F" w:rsidRDefault="0073327F" w:rsidP="0073327F">
            <w:pPr>
              <w:spacing w:line="240" w:lineRule="auto"/>
              <w:jc w:val="center"/>
              <w:rPr>
                <w:color w:val="000000"/>
              </w:rPr>
            </w:pPr>
            <w:r>
              <w:rPr>
                <w:color w:val="000000"/>
              </w:rPr>
              <w:t>Suffix</w:t>
            </w:r>
          </w:p>
        </w:tc>
        <w:tc>
          <w:tcPr>
            <w:tcW w:w="2060" w:type="dxa"/>
            <w:noWrap/>
            <w:tcMar>
              <w:top w:w="0" w:type="dxa"/>
              <w:left w:w="108" w:type="dxa"/>
              <w:bottom w:w="0" w:type="dxa"/>
              <w:right w:w="108" w:type="dxa"/>
            </w:tcMar>
            <w:vAlign w:val="bottom"/>
            <w:hideMark/>
          </w:tcPr>
          <w:p w14:paraId="75995DD4" w14:textId="77777777" w:rsidR="0073327F" w:rsidRDefault="0073327F" w:rsidP="0073327F">
            <w:pPr>
              <w:spacing w:line="240" w:lineRule="auto"/>
              <w:jc w:val="right"/>
              <w:rPr>
                <w:color w:val="000000"/>
              </w:rPr>
            </w:pPr>
            <w:r>
              <w:rPr>
                <w:color w:val="000000"/>
              </w:rPr>
              <w:t>Date</w:t>
            </w:r>
          </w:p>
        </w:tc>
      </w:tr>
      <w:tr w:rsidR="0073327F" w14:paraId="02DA3FFF" w14:textId="77777777" w:rsidTr="0073327F">
        <w:trPr>
          <w:trHeight w:val="290"/>
        </w:trPr>
        <w:tc>
          <w:tcPr>
            <w:tcW w:w="14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0DDE37CE"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210F9FAC" w14:textId="77777777" w:rsidR="0073327F" w:rsidRPr="0073327F" w:rsidRDefault="0073327F" w:rsidP="0073327F">
            <w:pPr>
              <w:spacing w:line="240" w:lineRule="auto"/>
              <w:jc w:val="center"/>
              <w:rPr>
                <w:color w:val="000000"/>
              </w:rPr>
            </w:pPr>
            <w:r w:rsidRPr="0073327F">
              <w:rPr>
                <w:color w:val="000000"/>
              </w:rPr>
              <w:t>0092</w:t>
            </w:r>
          </w:p>
        </w:tc>
        <w:tc>
          <w:tcPr>
            <w:tcW w:w="960" w:type="dxa"/>
            <w:tcBorders>
              <w:top w:val="single" w:sz="8" w:space="0" w:color="auto"/>
              <w:left w:val="nil"/>
              <w:bottom w:val="nil"/>
              <w:right w:val="single" w:sz="8" w:space="0" w:color="auto"/>
            </w:tcBorders>
            <w:shd w:val="clear" w:color="auto" w:fill="FFFF00"/>
            <w:noWrap/>
            <w:tcMar>
              <w:top w:w="0" w:type="dxa"/>
              <w:left w:w="108" w:type="dxa"/>
              <w:bottom w:w="0" w:type="dxa"/>
              <w:right w:w="108" w:type="dxa"/>
            </w:tcMar>
            <w:vAlign w:val="bottom"/>
            <w:hideMark/>
          </w:tcPr>
          <w:p w14:paraId="6F6D480C" w14:textId="77777777" w:rsidR="0073327F" w:rsidRPr="0073327F" w:rsidRDefault="0073327F" w:rsidP="0073327F">
            <w:pPr>
              <w:spacing w:line="240" w:lineRule="auto"/>
              <w:jc w:val="center"/>
              <w:rPr>
                <w:color w:val="000000"/>
              </w:rPr>
            </w:pPr>
            <w:r w:rsidRPr="0073327F">
              <w:rPr>
                <w:color w:val="000000"/>
              </w:rPr>
              <w:t>L</w:t>
            </w:r>
          </w:p>
        </w:tc>
        <w:tc>
          <w:tcPr>
            <w:tcW w:w="2060" w:type="dxa"/>
            <w:tcBorders>
              <w:top w:val="single" w:sz="8" w:space="0" w:color="auto"/>
              <w:left w:val="nil"/>
              <w:bottom w:val="nil"/>
              <w:right w:val="single" w:sz="8" w:space="0" w:color="auto"/>
            </w:tcBorders>
            <w:shd w:val="clear" w:color="auto" w:fill="FFFF00"/>
            <w:noWrap/>
            <w:tcMar>
              <w:top w:w="0" w:type="dxa"/>
              <w:left w:w="108" w:type="dxa"/>
              <w:bottom w:w="0" w:type="dxa"/>
              <w:right w:w="108" w:type="dxa"/>
            </w:tcMar>
            <w:vAlign w:val="bottom"/>
            <w:hideMark/>
          </w:tcPr>
          <w:p w14:paraId="4E71E7E6" w14:textId="77777777" w:rsidR="0073327F" w:rsidRPr="0073327F" w:rsidRDefault="0073327F" w:rsidP="0073327F">
            <w:pPr>
              <w:spacing w:line="240" w:lineRule="auto"/>
              <w:jc w:val="right"/>
              <w:rPr>
                <w:color w:val="000000"/>
              </w:rPr>
            </w:pPr>
            <w:r w:rsidRPr="0073327F">
              <w:rPr>
                <w:color w:val="000000"/>
              </w:rPr>
              <w:t>July 3. 2024</w:t>
            </w:r>
          </w:p>
        </w:tc>
      </w:tr>
      <w:tr w:rsidR="0073327F" w14:paraId="3B39B144"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9D5BA29"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675363ED" w14:textId="77777777" w:rsidR="0073327F" w:rsidRPr="0073327F" w:rsidRDefault="0073327F" w:rsidP="0073327F">
            <w:pPr>
              <w:spacing w:line="240" w:lineRule="auto"/>
              <w:jc w:val="center"/>
              <w:rPr>
                <w:color w:val="000000"/>
              </w:rPr>
            </w:pPr>
            <w:r w:rsidRPr="0073327F">
              <w:rPr>
                <w:color w:val="000000"/>
              </w:rPr>
              <w:t>0094</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052D724E"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3B86BE27" w14:textId="77777777" w:rsidR="0073327F" w:rsidRPr="0073327F" w:rsidRDefault="0073327F" w:rsidP="0073327F">
            <w:pPr>
              <w:spacing w:line="240" w:lineRule="auto"/>
              <w:jc w:val="right"/>
              <w:rPr>
                <w:color w:val="000000"/>
              </w:rPr>
            </w:pPr>
            <w:r w:rsidRPr="0073327F">
              <w:rPr>
                <w:color w:val="000000"/>
              </w:rPr>
              <w:t>July 6, 2021</w:t>
            </w:r>
          </w:p>
        </w:tc>
      </w:tr>
      <w:tr w:rsidR="0073327F" w14:paraId="34555848"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F52420A"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01BC464A" w14:textId="77777777" w:rsidR="0073327F" w:rsidRPr="0073327F" w:rsidRDefault="0073327F" w:rsidP="0073327F">
            <w:pPr>
              <w:spacing w:line="240" w:lineRule="auto"/>
              <w:jc w:val="center"/>
              <w:rPr>
                <w:color w:val="000000"/>
              </w:rPr>
            </w:pPr>
            <w:r w:rsidRPr="0073327F">
              <w:rPr>
                <w:color w:val="000000"/>
              </w:rPr>
              <w:t>0103</w:t>
            </w:r>
          </w:p>
        </w:tc>
        <w:tc>
          <w:tcPr>
            <w:tcW w:w="96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14:paraId="2EE13164" w14:textId="77777777" w:rsidR="0073327F" w:rsidRPr="0073327F" w:rsidRDefault="0073327F" w:rsidP="0073327F">
            <w:pPr>
              <w:spacing w:line="240" w:lineRule="auto"/>
              <w:jc w:val="center"/>
              <w:rPr>
                <w:color w:val="000000"/>
              </w:rPr>
            </w:pPr>
            <w:r w:rsidRPr="0073327F">
              <w:rPr>
                <w:color w:val="000000"/>
              </w:rPr>
              <w:t>L</w:t>
            </w:r>
          </w:p>
        </w:tc>
        <w:tc>
          <w:tcPr>
            <w:tcW w:w="206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14:paraId="10309F20" w14:textId="77777777" w:rsidR="0073327F" w:rsidRPr="0073327F" w:rsidRDefault="0073327F" w:rsidP="0073327F">
            <w:pPr>
              <w:spacing w:line="240" w:lineRule="auto"/>
              <w:jc w:val="right"/>
              <w:rPr>
                <w:color w:val="000000"/>
              </w:rPr>
            </w:pPr>
            <w:r w:rsidRPr="0073327F">
              <w:rPr>
                <w:color w:val="000000"/>
              </w:rPr>
              <w:t>July 3, 2024</w:t>
            </w:r>
          </w:p>
        </w:tc>
      </w:tr>
      <w:tr w:rsidR="0073327F" w14:paraId="2ABE9B75"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288AD6"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336314ED" w14:textId="77777777" w:rsidR="0073327F" w:rsidRPr="0073327F" w:rsidRDefault="0073327F" w:rsidP="0073327F">
            <w:pPr>
              <w:spacing w:line="240" w:lineRule="auto"/>
              <w:jc w:val="center"/>
              <w:rPr>
                <w:color w:val="000000"/>
              </w:rPr>
            </w:pPr>
            <w:r w:rsidRPr="0073327F">
              <w:rPr>
                <w:color w:val="000000"/>
              </w:rPr>
              <w:t>0104</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7B269220"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11C0C126" w14:textId="77777777" w:rsidR="0073327F" w:rsidRPr="0073327F" w:rsidRDefault="0073327F" w:rsidP="0073327F">
            <w:pPr>
              <w:spacing w:line="240" w:lineRule="auto"/>
              <w:jc w:val="right"/>
              <w:rPr>
                <w:color w:val="000000"/>
              </w:rPr>
            </w:pPr>
            <w:r w:rsidRPr="0073327F">
              <w:rPr>
                <w:color w:val="000000"/>
              </w:rPr>
              <w:t>July 6, 2021</w:t>
            </w:r>
          </w:p>
        </w:tc>
      </w:tr>
      <w:tr w:rsidR="0073327F" w14:paraId="20D5AC1E"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D5EAA5F"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63BAFAAB" w14:textId="77777777" w:rsidR="0073327F" w:rsidRPr="0073327F" w:rsidRDefault="0073327F" w:rsidP="0073327F">
            <w:pPr>
              <w:spacing w:line="240" w:lineRule="auto"/>
              <w:jc w:val="center"/>
              <w:rPr>
                <w:color w:val="000000"/>
              </w:rPr>
            </w:pPr>
            <w:r w:rsidRPr="0073327F">
              <w:rPr>
                <w:color w:val="000000"/>
              </w:rPr>
              <w:t>0108</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172F4B37" w14:textId="77777777" w:rsidR="0073327F" w:rsidRPr="0073327F" w:rsidRDefault="0073327F" w:rsidP="0073327F">
            <w:pPr>
              <w:spacing w:line="240" w:lineRule="auto"/>
              <w:jc w:val="center"/>
              <w:rPr>
                <w:color w:val="000000"/>
              </w:rPr>
            </w:pPr>
            <w:r w:rsidRPr="0073327F">
              <w:rPr>
                <w:color w:val="000000"/>
              </w:rPr>
              <w:t>L</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0C652F56" w14:textId="77777777" w:rsidR="0073327F" w:rsidRPr="0073327F" w:rsidRDefault="0073327F" w:rsidP="0073327F">
            <w:pPr>
              <w:spacing w:line="240" w:lineRule="auto"/>
              <w:jc w:val="right"/>
              <w:rPr>
                <w:color w:val="000000"/>
              </w:rPr>
            </w:pPr>
            <w:r w:rsidRPr="0073327F">
              <w:rPr>
                <w:color w:val="000000"/>
              </w:rPr>
              <w:t>July 6, 2021</w:t>
            </w:r>
          </w:p>
        </w:tc>
      </w:tr>
      <w:tr w:rsidR="0073327F" w14:paraId="4BA5915B"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038C561"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5CF8E2D8" w14:textId="77777777" w:rsidR="0073327F" w:rsidRPr="0073327F" w:rsidRDefault="0073327F" w:rsidP="0073327F">
            <w:pPr>
              <w:spacing w:line="240" w:lineRule="auto"/>
              <w:jc w:val="center"/>
              <w:rPr>
                <w:color w:val="000000"/>
              </w:rPr>
            </w:pPr>
            <w:r w:rsidRPr="0073327F">
              <w:rPr>
                <w:color w:val="000000"/>
              </w:rPr>
              <w:t>0111</w:t>
            </w:r>
          </w:p>
        </w:tc>
        <w:tc>
          <w:tcPr>
            <w:tcW w:w="96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14:paraId="532352AE" w14:textId="77777777" w:rsidR="0073327F" w:rsidRPr="0073327F" w:rsidRDefault="0073327F" w:rsidP="0073327F">
            <w:pPr>
              <w:spacing w:line="240" w:lineRule="auto"/>
              <w:jc w:val="center"/>
              <w:rPr>
                <w:color w:val="000000"/>
              </w:rPr>
            </w:pPr>
            <w:r w:rsidRPr="0073327F">
              <w:rPr>
                <w:color w:val="000000"/>
              </w:rPr>
              <w:t>L</w:t>
            </w:r>
          </w:p>
        </w:tc>
        <w:tc>
          <w:tcPr>
            <w:tcW w:w="206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14:paraId="0D27D1BA" w14:textId="77777777" w:rsidR="0073327F" w:rsidRPr="0073327F" w:rsidRDefault="0073327F" w:rsidP="0073327F">
            <w:pPr>
              <w:spacing w:line="240" w:lineRule="auto"/>
              <w:jc w:val="right"/>
              <w:rPr>
                <w:color w:val="000000"/>
              </w:rPr>
            </w:pPr>
            <w:r w:rsidRPr="0073327F">
              <w:rPr>
                <w:color w:val="000000"/>
              </w:rPr>
              <w:t>July 3, 2024</w:t>
            </w:r>
          </w:p>
        </w:tc>
      </w:tr>
      <w:tr w:rsidR="0073327F" w14:paraId="580AAF80"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9C62029"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30CC7F0A" w14:textId="77777777" w:rsidR="0073327F" w:rsidRPr="0073327F" w:rsidRDefault="0073327F" w:rsidP="0073327F">
            <w:pPr>
              <w:spacing w:line="240" w:lineRule="auto"/>
              <w:jc w:val="center"/>
              <w:rPr>
                <w:color w:val="000000"/>
              </w:rPr>
            </w:pPr>
            <w:r w:rsidRPr="0073327F">
              <w:rPr>
                <w:color w:val="000000"/>
              </w:rPr>
              <w:t>0112</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30327AAD"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1B9902BC" w14:textId="77777777" w:rsidR="0073327F" w:rsidRPr="0073327F" w:rsidRDefault="0073327F" w:rsidP="0073327F">
            <w:pPr>
              <w:spacing w:line="240" w:lineRule="auto"/>
              <w:jc w:val="right"/>
              <w:rPr>
                <w:color w:val="000000"/>
              </w:rPr>
            </w:pPr>
            <w:r w:rsidRPr="0073327F">
              <w:rPr>
                <w:color w:val="000000"/>
              </w:rPr>
              <w:t>July 6, 2021</w:t>
            </w:r>
          </w:p>
        </w:tc>
      </w:tr>
      <w:tr w:rsidR="0073327F" w14:paraId="7685842D"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CFBAD19"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4E2C6BA0" w14:textId="77777777" w:rsidR="0073327F" w:rsidRPr="0073327F" w:rsidRDefault="0073327F" w:rsidP="0073327F">
            <w:pPr>
              <w:spacing w:line="240" w:lineRule="auto"/>
              <w:jc w:val="center"/>
              <w:rPr>
                <w:color w:val="000000"/>
              </w:rPr>
            </w:pPr>
            <w:r w:rsidRPr="0073327F">
              <w:rPr>
                <w:color w:val="000000"/>
              </w:rPr>
              <w:t>0113</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1929C746"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72CE7C5A" w14:textId="77777777" w:rsidR="0073327F" w:rsidRPr="0073327F" w:rsidRDefault="0073327F" w:rsidP="0073327F">
            <w:pPr>
              <w:spacing w:line="240" w:lineRule="auto"/>
              <w:jc w:val="right"/>
              <w:rPr>
                <w:color w:val="000000"/>
              </w:rPr>
            </w:pPr>
            <w:r w:rsidRPr="0073327F">
              <w:rPr>
                <w:color w:val="000000"/>
              </w:rPr>
              <w:t>July 6, 2021</w:t>
            </w:r>
          </w:p>
        </w:tc>
      </w:tr>
      <w:tr w:rsidR="0073327F" w14:paraId="3A43BCCB"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B2C995F"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7904C86B" w14:textId="77777777" w:rsidR="0073327F" w:rsidRPr="0073327F" w:rsidRDefault="0073327F" w:rsidP="0073327F">
            <w:pPr>
              <w:spacing w:line="240" w:lineRule="auto"/>
              <w:jc w:val="center"/>
              <w:rPr>
                <w:color w:val="000000"/>
              </w:rPr>
            </w:pPr>
            <w:r w:rsidRPr="0073327F">
              <w:rPr>
                <w:color w:val="000000"/>
              </w:rPr>
              <w:t>0114</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4789BB43"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09E1E610" w14:textId="77777777" w:rsidR="0073327F" w:rsidRPr="0073327F" w:rsidRDefault="0073327F" w:rsidP="0073327F">
            <w:pPr>
              <w:spacing w:line="240" w:lineRule="auto"/>
              <w:jc w:val="right"/>
              <w:rPr>
                <w:color w:val="000000"/>
              </w:rPr>
            </w:pPr>
            <w:r w:rsidRPr="0073327F">
              <w:rPr>
                <w:color w:val="000000"/>
              </w:rPr>
              <w:t>July 6, 2021</w:t>
            </w:r>
          </w:p>
        </w:tc>
      </w:tr>
      <w:tr w:rsidR="0073327F" w14:paraId="25C92EAA"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3AE8E70"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6A9B3E98" w14:textId="77777777" w:rsidR="0073327F" w:rsidRPr="0073327F" w:rsidRDefault="0073327F" w:rsidP="0073327F">
            <w:pPr>
              <w:spacing w:line="240" w:lineRule="auto"/>
              <w:jc w:val="center"/>
              <w:rPr>
                <w:color w:val="000000"/>
              </w:rPr>
            </w:pPr>
            <w:r w:rsidRPr="0073327F">
              <w:rPr>
                <w:color w:val="000000"/>
              </w:rPr>
              <w:t>0116</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60BD3A3D"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56701B03" w14:textId="77777777" w:rsidR="0073327F" w:rsidRPr="0073327F" w:rsidRDefault="0073327F" w:rsidP="0073327F">
            <w:pPr>
              <w:spacing w:line="240" w:lineRule="auto"/>
              <w:jc w:val="right"/>
              <w:rPr>
                <w:color w:val="000000"/>
              </w:rPr>
            </w:pPr>
            <w:r w:rsidRPr="0073327F">
              <w:rPr>
                <w:color w:val="000000"/>
              </w:rPr>
              <w:t>July 6, 2021</w:t>
            </w:r>
          </w:p>
        </w:tc>
      </w:tr>
      <w:tr w:rsidR="0073327F" w14:paraId="26AEEEF4"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20FEACD"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27AF9969" w14:textId="77777777" w:rsidR="0073327F" w:rsidRPr="0073327F" w:rsidRDefault="0073327F" w:rsidP="0073327F">
            <w:pPr>
              <w:spacing w:line="240" w:lineRule="auto"/>
              <w:jc w:val="center"/>
              <w:rPr>
                <w:color w:val="000000"/>
              </w:rPr>
            </w:pPr>
            <w:r w:rsidRPr="0073327F">
              <w:rPr>
                <w:color w:val="000000"/>
              </w:rPr>
              <w:t>0117</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169D09F1" w14:textId="77777777" w:rsidR="0073327F" w:rsidRPr="0073327F" w:rsidRDefault="0073327F" w:rsidP="0073327F">
            <w:pPr>
              <w:spacing w:line="240" w:lineRule="auto"/>
              <w:jc w:val="center"/>
              <w:rPr>
                <w:color w:val="000000"/>
              </w:rPr>
            </w:pPr>
            <w:r w:rsidRPr="0073327F">
              <w:rPr>
                <w:color w:val="000000"/>
              </w:rPr>
              <w:t>L</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21933041" w14:textId="77777777" w:rsidR="0073327F" w:rsidRPr="0073327F" w:rsidRDefault="0073327F" w:rsidP="0073327F">
            <w:pPr>
              <w:spacing w:line="240" w:lineRule="auto"/>
              <w:jc w:val="right"/>
              <w:rPr>
                <w:color w:val="000000"/>
              </w:rPr>
            </w:pPr>
            <w:r w:rsidRPr="0073327F">
              <w:rPr>
                <w:color w:val="000000"/>
              </w:rPr>
              <w:t>July 6, 2021</w:t>
            </w:r>
          </w:p>
        </w:tc>
      </w:tr>
      <w:tr w:rsidR="0073327F" w14:paraId="411794FD"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011C91B"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655CC8B4" w14:textId="77777777" w:rsidR="0073327F" w:rsidRPr="0073327F" w:rsidRDefault="0073327F" w:rsidP="0073327F">
            <w:pPr>
              <w:spacing w:line="240" w:lineRule="auto"/>
              <w:jc w:val="center"/>
              <w:rPr>
                <w:color w:val="000000"/>
              </w:rPr>
            </w:pPr>
            <w:r w:rsidRPr="0073327F">
              <w:rPr>
                <w:color w:val="000000"/>
              </w:rPr>
              <w:t>0118</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338C8E90"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3245F6BE" w14:textId="77777777" w:rsidR="0073327F" w:rsidRPr="0073327F" w:rsidRDefault="0073327F" w:rsidP="0073327F">
            <w:pPr>
              <w:spacing w:line="240" w:lineRule="auto"/>
              <w:jc w:val="right"/>
              <w:rPr>
                <w:color w:val="000000"/>
              </w:rPr>
            </w:pPr>
            <w:r w:rsidRPr="0073327F">
              <w:rPr>
                <w:color w:val="000000"/>
              </w:rPr>
              <w:t>July 6, 2021</w:t>
            </w:r>
          </w:p>
        </w:tc>
      </w:tr>
      <w:tr w:rsidR="0073327F" w14:paraId="24C9C47C"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0BB9011"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7692B410" w14:textId="77777777" w:rsidR="0073327F" w:rsidRPr="0073327F" w:rsidRDefault="0073327F" w:rsidP="0073327F">
            <w:pPr>
              <w:spacing w:line="240" w:lineRule="auto"/>
              <w:jc w:val="center"/>
              <w:rPr>
                <w:color w:val="000000"/>
              </w:rPr>
            </w:pPr>
            <w:r w:rsidRPr="0073327F">
              <w:rPr>
                <w:color w:val="000000"/>
              </w:rPr>
              <w:t>0119</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7512CC7C"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6D3BA8DB" w14:textId="77777777" w:rsidR="0073327F" w:rsidRPr="0073327F" w:rsidRDefault="0073327F" w:rsidP="0073327F">
            <w:pPr>
              <w:spacing w:line="240" w:lineRule="auto"/>
              <w:jc w:val="right"/>
              <w:rPr>
                <w:color w:val="000000"/>
              </w:rPr>
            </w:pPr>
            <w:r w:rsidRPr="0073327F">
              <w:rPr>
                <w:color w:val="000000"/>
              </w:rPr>
              <w:t>November 4, 2016</w:t>
            </w:r>
          </w:p>
        </w:tc>
      </w:tr>
      <w:tr w:rsidR="0073327F" w14:paraId="3F6B3441" w14:textId="77777777" w:rsidTr="0073327F">
        <w:trPr>
          <w:trHeight w:val="290"/>
        </w:trPr>
        <w:tc>
          <w:tcPr>
            <w:tcW w:w="14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838450"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nil"/>
              <w:right w:val="single" w:sz="8" w:space="0" w:color="auto"/>
            </w:tcBorders>
            <w:noWrap/>
            <w:tcMar>
              <w:top w:w="0" w:type="dxa"/>
              <w:left w:w="108" w:type="dxa"/>
              <w:bottom w:w="0" w:type="dxa"/>
              <w:right w:w="108" w:type="dxa"/>
            </w:tcMar>
            <w:vAlign w:val="bottom"/>
            <w:hideMark/>
          </w:tcPr>
          <w:p w14:paraId="2F77E4E7" w14:textId="77777777" w:rsidR="0073327F" w:rsidRPr="0073327F" w:rsidRDefault="0073327F" w:rsidP="0073327F">
            <w:pPr>
              <w:spacing w:line="240" w:lineRule="auto"/>
              <w:jc w:val="center"/>
              <w:rPr>
                <w:color w:val="000000"/>
              </w:rPr>
            </w:pPr>
            <w:r w:rsidRPr="0073327F">
              <w:rPr>
                <w:color w:val="000000"/>
              </w:rPr>
              <w:t>0206</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259544DE"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nil"/>
              <w:right w:val="single" w:sz="8" w:space="0" w:color="auto"/>
            </w:tcBorders>
            <w:noWrap/>
            <w:tcMar>
              <w:top w:w="0" w:type="dxa"/>
              <w:left w:w="108" w:type="dxa"/>
              <w:bottom w:w="0" w:type="dxa"/>
              <w:right w:w="108" w:type="dxa"/>
            </w:tcMar>
            <w:vAlign w:val="bottom"/>
            <w:hideMark/>
          </w:tcPr>
          <w:p w14:paraId="6A7FAF0B" w14:textId="77777777" w:rsidR="0073327F" w:rsidRPr="0073327F" w:rsidRDefault="0073327F" w:rsidP="0073327F">
            <w:pPr>
              <w:spacing w:line="240" w:lineRule="auto"/>
              <w:jc w:val="right"/>
              <w:rPr>
                <w:color w:val="000000"/>
              </w:rPr>
            </w:pPr>
            <w:r w:rsidRPr="0073327F">
              <w:rPr>
                <w:color w:val="000000"/>
              </w:rPr>
              <w:t>July 6, 2021</w:t>
            </w:r>
          </w:p>
        </w:tc>
      </w:tr>
      <w:tr w:rsidR="0073327F" w14:paraId="7AEE1D64" w14:textId="77777777" w:rsidTr="0073327F">
        <w:trPr>
          <w:trHeight w:val="300"/>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C073BD" w14:textId="77777777" w:rsidR="0073327F" w:rsidRPr="0073327F" w:rsidRDefault="0073327F" w:rsidP="0073327F">
            <w:pPr>
              <w:spacing w:line="240" w:lineRule="auto"/>
              <w:jc w:val="center"/>
              <w:rPr>
                <w:color w:val="000000"/>
              </w:rPr>
            </w:pPr>
            <w:r w:rsidRPr="0073327F">
              <w:rPr>
                <w:color w:val="000000"/>
              </w:rPr>
              <w:t>25023C</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24D023" w14:textId="77777777" w:rsidR="0073327F" w:rsidRPr="0073327F" w:rsidRDefault="0073327F" w:rsidP="0073327F">
            <w:pPr>
              <w:spacing w:line="240" w:lineRule="auto"/>
              <w:jc w:val="center"/>
              <w:rPr>
                <w:color w:val="000000"/>
              </w:rPr>
            </w:pPr>
            <w:r w:rsidRPr="0073327F">
              <w:rPr>
                <w:color w:val="000000"/>
              </w:rPr>
              <w:t>0207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18438" w14:textId="77777777" w:rsidR="0073327F" w:rsidRPr="0073327F" w:rsidRDefault="0073327F" w:rsidP="0073327F">
            <w:pPr>
              <w:spacing w:line="240" w:lineRule="auto"/>
              <w:jc w:val="center"/>
              <w:rPr>
                <w:color w:val="000000"/>
              </w:rPr>
            </w:pPr>
            <w:r w:rsidRPr="0073327F">
              <w:rPr>
                <w:color w:val="000000"/>
              </w:rPr>
              <w:t>K</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9FFFB" w14:textId="77777777" w:rsidR="0073327F" w:rsidRPr="0073327F" w:rsidRDefault="0073327F" w:rsidP="0073327F">
            <w:pPr>
              <w:spacing w:line="240" w:lineRule="auto"/>
              <w:jc w:val="right"/>
              <w:rPr>
                <w:color w:val="000000"/>
              </w:rPr>
            </w:pPr>
            <w:r w:rsidRPr="0073327F">
              <w:rPr>
                <w:color w:val="000000"/>
              </w:rPr>
              <w:t>July 6, 2021</w:t>
            </w:r>
          </w:p>
        </w:tc>
      </w:tr>
    </w:tbl>
    <w:p w14:paraId="01380918" w14:textId="77777777" w:rsidR="0073327F" w:rsidRDefault="0073327F" w:rsidP="0073327F">
      <w:pPr>
        <w:pStyle w:val="ListParagraph"/>
        <w:spacing w:line="252" w:lineRule="auto"/>
        <w:ind w:left="1080"/>
        <w:rPr>
          <w:rFonts w:ascii="Arial" w:eastAsia="Times New Roman" w:hAnsi="Arial" w:cs="Arial"/>
          <w:color w:val="000000"/>
          <w:sz w:val="21"/>
          <w:szCs w:val="21"/>
        </w:rPr>
      </w:pPr>
    </w:p>
    <w:p w14:paraId="648A6CBE" w14:textId="77777777" w:rsidR="0073327F" w:rsidRDefault="0073327F" w:rsidP="0073327F">
      <w:pPr>
        <w:pStyle w:val="ListParagraph"/>
        <w:spacing w:line="252" w:lineRule="auto"/>
        <w:ind w:left="1080"/>
        <w:rPr>
          <w:rFonts w:ascii="Arial" w:eastAsia="Times New Roman" w:hAnsi="Arial" w:cs="Arial"/>
          <w:color w:val="000000"/>
          <w:sz w:val="21"/>
          <w:szCs w:val="21"/>
        </w:rPr>
      </w:pPr>
    </w:p>
    <w:p w14:paraId="15FB8D71" w14:textId="5E904F17" w:rsidR="001A3B48" w:rsidRPr="001A3B48" w:rsidRDefault="001A3B48" w:rsidP="001A3B48">
      <w:pPr>
        <w:pStyle w:val="ListParagraph"/>
        <w:spacing w:line="252" w:lineRule="auto"/>
        <w:ind w:left="1080"/>
        <w:rPr>
          <w:rFonts w:eastAsia="Times New Roman"/>
        </w:rPr>
      </w:pPr>
      <w:r w:rsidRPr="001A3B48">
        <w:rPr>
          <w:rFonts w:ascii="Arial" w:eastAsia="Times New Roman" w:hAnsi="Arial" w:cs="Arial"/>
          <w:color w:val="000000"/>
          <w:sz w:val="21"/>
          <w:szCs w:val="21"/>
        </w:rPr>
        <w:t>The exact boundaries of the district may be defined by the one-hundred-year base flood elevations shown on the FIRM and further defined by the Plymouth County Flood Insurance Study (FIS) report dated July 3, 2024. The FIRM and FIS report are incorporated herein by reference and are on file with the Town Clerk. In case of a conflict, the more restrictive interpretation shall apply.</w:t>
      </w:r>
    </w:p>
    <w:p w14:paraId="200381FA" w14:textId="6E6DE138" w:rsidR="006872EF" w:rsidRDefault="006872EF" w:rsidP="001A3B48">
      <w:pPr>
        <w:pStyle w:val="ListParagraph"/>
        <w:ind w:left="1080"/>
      </w:pPr>
    </w:p>
    <w:p w14:paraId="15693187" w14:textId="09640CDF" w:rsidR="003F72F6" w:rsidRPr="006872EF" w:rsidRDefault="006872EF" w:rsidP="006872EF">
      <w:pPr>
        <w:rPr>
          <w:b/>
          <w:bCs/>
        </w:rPr>
      </w:pPr>
      <w:r>
        <w:t>2.</w:t>
      </w:r>
      <w:r>
        <w:tab/>
      </w:r>
      <w:r w:rsidR="00681762" w:rsidRPr="006872EF">
        <w:rPr>
          <w:b/>
          <w:bCs/>
        </w:rPr>
        <w:t>To delete §201-18.13. Floodway Encroachment. B, which provides as follows:</w:t>
      </w:r>
    </w:p>
    <w:p w14:paraId="02805C83" w14:textId="185E75C9" w:rsidR="00681762" w:rsidRDefault="00681762" w:rsidP="00681762">
      <w:pPr>
        <w:pStyle w:val="ListParagraph"/>
        <w:ind w:left="1440" w:hanging="720"/>
      </w:pPr>
      <w:r>
        <w:rPr>
          <w:rFonts w:ascii="Arial" w:hAnsi="Arial" w:cs="Arial"/>
          <w:color w:val="000000"/>
          <w:sz w:val="21"/>
          <w:szCs w:val="21"/>
        </w:rPr>
        <w:t>B.</w:t>
      </w:r>
      <w:r>
        <w:rPr>
          <w:rFonts w:ascii="Arial" w:hAnsi="Arial" w:cs="Arial"/>
          <w:color w:val="000000"/>
          <w:sz w:val="21"/>
          <w:szCs w:val="21"/>
        </w:rPr>
        <w:tab/>
        <w:t>In Zones A1-30 and AE, along watercourses that have a regulatory floodway designated on the Town's FIRM, encroachments are prohibited in the regulatory floodway which would result in any increase in flood levels within the community during the occurrence of the base flood discharge.</w:t>
      </w:r>
    </w:p>
    <w:p w14:paraId="6188CAFA" w14:textId="740C8121" w:rsidR="003F72F6" w:rsidRDefault="00681762">
      <w:r>
        <w:tab/>
        <w:t>and to substitute therefore the following new provision:</w:t>
      </w:r>
    </w:p>
    <w:p w14:paraId="6CCFDABB" w14:textId="77777777" w:rsidR="00681762" w:rsidRDefault="00681762" w:rsidP="00681762">
      <w:pPr>
        <w:ind w:left="1440" w:hanging="720"/>
        <w:rPr>
          <w:sz w:val="23"/>
          <w:szCs w:val="23"/>
        </w:rPr>
      </w:pPr>
      <w:r>
        <w:t>B.</w:t>
      </w:r>
      <w:r>
        <w:tab/>
      </w:r>
      <w:r>
        <w:rPr>
          <w:sz w:val="23"/>
          <w:szCs w:val="23"/>
        </w:rPr>
        <w:t xml:space="preserve">In Zones A1-30 and AE, along watercourses that have a regulatory floodway designated on the Town’s FIRM encroachments are prohibited, including fill, new </w:t>
      </w:r>
      <w:r>
        <w:rPr>
          <w:sz w:val="23"/>
          <w:szCs w:val="23"/>
        </w:rPr>
        <w:lastRenderedPageBreak/>
        <w:t>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p>
    <w:p w14:paraId="67DF3751" w14:textId="598DEAE9" w:rsidR="007D0460" w:rsidRDefault="006872EF" w:rsidP="007D0460">
      <w:pPr>
        <w:ind w:left="720" w:hanging="720"/>
      </w:pPr>
      <w:r>
        <w:t>3</w:t>
      </w:r>
      <w:r w:rsidR="00681762">
        <w:t>.</w:t>
      </w:r>
      <w:r w:rsidR="00681762">
        <w:tab/>
        <w:t xml:space="preserve">To </w:t>
      </w:r>
      <w:r w:rsidR="007D0460">
        <w:t>amend §201-18.15. Recreational Vehicles by adding the following new Zones that are highlighted in bold font:</w:t>
      </w:r>
    </w:p>
    <w:p w14:paraId="293D6447" w14:textId="6469EEA9" w:rsidR="00681762" w:rsidRDefault="007D0460" w:rsidP="006872EF">
      <w:pPr>
        <w:ind w:left="1440"/>
      </w:pPr>
      <w:r>
        <w:rPr>
          <w:rFonts w:ascii="Arial" w:hAnsi="Arial" w:cs="Arial"/>
          <w:color w:val="000000"/>
          <w:sz w:val="21"/>
          <w:szCs w:val="21"/>
        </w:rPr>
        <w:t xml:space="preserve">In </w:t>
      </w:r>
      <w:r w:rsidRPr="007D0460">
        <w:rPr>
          <w:rFonts w:ascii="Arial" w:hAnsi="Arial" w:cs="Arial"/>
          <w:b/>
          <w:bCs/>
          <w:color w:val="000000"/>
          <w:sz w:val="21"/>
          <w:szCs w:val="21"/>
        </w:rPr>
        <w:t>A,</w:t>
      </w:r>
      <w:r>
        <w:rPr>
          <w:rFonts w:ascii="Arial" w:hAnsi="Arial" w:cs="Arial"/>
          <w:color w:val="000000"/>
          <w:sz w:val="21"/>
          <w:szCs w:val="21"/>
        </w:rPr>
        <w:t xml:space="preserve"> A1-30, AH, </w:t>
      </w:r>
      <w:r w:rsidRPr="007D0460">
        <w:rPr>
          <w:rFonts w:ascii="Arial" w:hAnsi="Arial" w:cs="Arial"/>
          <w:b/>
          <w:bCs/>
          <w:color w:val="000000"/>
          <w:sz w:val="21"/>
          <w:szCs w:val="21"/>
        </w:rPr>
        <w:t>AO,</w:t>
      </w:r>
      <w:r>
        <w:rPr>
          <w:rFonts w:ascii="Arial" w:hAnsi="Arial" w:cs="Arial"/>
          <w:color w:val="000000"/>
          <w:sz w:val="21"/>
          <w:szCs w:val="21"/>
        </w:rPr>
        <w:t xml:space="preserve"> AE Zones, V1-30, VE, and V Zones, all recreational vehicles to be placed on a site must be elevated and anchored in accordance with the zone's regulations for foundation and elevation requirements or be on the site for less than 180 consecutive days or be fully licensed and highway ready.</w:t>
      </w:r>
      <w:r w:rsidR="00681762">
        <w:tab/>
      </w:r>
    </w:p>
    <w:p w14:paraId="3FA1635B" w14:textId="1FFDACC2" w:rsidR="003F72F6" w:rsidRDefault="003F72F6">
      <w:r>
        <w:t>or to take any other action relative thereto.</w:t>
      </w:r>
    </w:p>
    <w:p w14:paraId="498F04FF" w14:textId="5F672693" w:rsidR="003F72F6" w:rsidRDefault="006872EF">
      <w:r>
        <w:t>P</w:t>
      </w:r>
      <w:r w:rsidR="003F72F6">
        <w:t>etition of the Planning Board</w:t>
      </w:r>
    </w:p>
    <w:p w14:paraId="25B86D17" w14:textId="77777777" w:rsidR="006872EF" w:rsidRDefault="006872EF">
      <w:r>
        <w:t>Dates:</w:t>
      </w:r>
    </w:p>
    <w:p w14:paraId="02B39F2C" w14:textId="1A839596" w:rsidR="00433DC2" w:rsidRDefault="001A3B48" w:rsidP="006872EF">
      <w:pPr>
        <w:spacing w:after="0" w:line="240" w:lineRule="auto"/>
      </w:pPr>
      <w:r>
        <w:t>January 17,</w:t>
      </w:r>
      <w:r w:rsidR="00433DC2">
        <w:t>202</w:t>
      </w:r>
      <w:r>
        <w:t>4</w:t>
      </w:r>
      <w:r w:rsidR="00433DC2">
        <w:tab/>
        <w:t xml:space="preserve">Voted </w:t>
      </w:r>
      <w:r w:rsidR="006872EF">
        <w:t xml:space="preserve">by PB </w:t>
      </w:r>
    </w:p>
    <w:p w14:paraId="7F71B75C" w14:textId="481A48C9" w:rsidR="00433DC2" w:rsidRDefault="00433DC2" w:rsidP="006872EF">
      <w:pPr>
        <w:spacing w:after="0" w:line="240" w:lineRule="auto"/>
      </w:pPr>
      <w:r>
        <w:t xml:space="preserve">January </w:t>
      </w:r>
      <w:r w:rsidR="00630E28">
        <w:t>1</w:t>
      </w:r>
      <w:r w:rsidR="00416D6E">
        <w:t>8</w:t>
      </w:r>
      <w:r>
        <w:t>,2024</w:t>
      </w:r>
      <w:r>
        <w:tab/>
        <w:t xml:space="preserve">Forwarded </w:t>
      </w:r>
      <w:r w:rsidR="00630E28">
        <w:t xml:space="preserve">by PB </w:t>
      </w:r>
      <w:r w:rsidR="006872EF">
        <w:t xml:space="preserve">to Select Board </w:t>
      </w:r>
    </w:p>
    <w:p w14:paraId="2928DFBB" w14:textId="191CEB70" w:rsidR="006872EF" w:rsidRDefault="00433DC2" w:rsidP="006872EF">
      <w:pPr>
        <w:spacing w:after="0" w:line="240" w:lineRule="auto"/>
      </w:pPr>
      <w:r>
        <w:t xml:space="preserve">January </w:t>
      </w:r>
      <w:r w:rsidR="00630E28">
        <w:t>24</w:t>
      </w:r>
      <w:r>
        <w:t>,2024</w:t>
      </w:r>
      <w:r>
        <w:tab/>
        <w:t xml:space="preserve">Select Board vote to refer </w:t>
      </w:r>
      <w:r w:rsidR="006872EF">
        <w:t xml:space="preserve">to PB </w:t>
      </w:r>
      <w:r>
        <w:t xml:space="preserve">for a public hearing  </w:t>
      </w:r>
    </w:p>
    <w:p w14:paraId="56268955" w14:textId="77777777" w:rsidR="00EC5CF5" w:rsidRDefault="00EC5CF5" w:rsidP="00EC5CF5">
      <w:pPr>
        <w:spacing w:after="0" w:line="240" w:lineRule="auto"/>
      </w:pPr>
      <w:r>
        <w:t>January 26, 2024</w:t>
      </w:r>
      <w:r>
        <w:tab/>
        <w:t>Planning Board Public Hearing Notices mailed: PBs, RBA, DHCD (HLC)</w:t>
      </w:r>
    </w:p>
    <w:p w14:paraId="3779EC7D" w14:textId="018F764A" w:rsidR="00433DC2" w:rsidRDefault="00EC5CF5" w:rsidP="00EC5CF5">
      <w:pPr>
        <w:spacing w:after="0" w:line="240" w:lineRule="auto"/>
      </w:pPr>
      <w:r>
        <w:t>January 29, 2024</w:t>
      </w:r>
      <w:r>
        <w:tab/>
      </w:r>
      <w:r w:rsidR="00433DC2">
        <w:t>P</w:t>
      </w:r>
      <w:r>
        <w:t xml:space="preserve">lanning Board </w:t>
      </w:r>
      <w:r w:rsidR="006872EF">
        <w:t>Public Hearing Notic</w:t>
      </w:r>
      <w:r w:rsidR="00433DC2">
        <w:t>e posted</w:t>
      </w:r>
    </w:p>
    <w:p w14:paraId="22430D65" w14:textId="3251CC11" w:rsidR="00433DC2" w:rsidRDefault="00EC5CF5" w:rsidP="00EC5CF5">
      <w:pPr>
        <w:spacing w:after="0" w:line="240" w:lineRule="auto"/>
      </w:pPr>
      <w:r>
        <w:t>January 31, 2024</w:t>
      </w:r>
      <w:r>
        <w:tab/>
        <w:t xml:space="preserve">Planning Board </w:t>
      </w:r>
      <w:r w:rsidR="00433DC2">
        <w:t xml:space="preserve">Public Hearing First Notice </w:t>
      </w:r>
      <w:r w:rsidR="006872EF">
        <w:t>published</w:t>
      </w:r>
    </w:p>
    <w:p w14:paraId="4CF385A3" w14:textId="73A64C7D" w:rsidR="00433DC2" w:rsidRDefault="00EC5CF5" w:rsidP="00EC5CF5">
      <w:pPr>
        <w:spacing w:after="0" w:line="240" w:lineRule="auto"/>
      </w:pPr>
      <w:r>
        <w:t>February 7, 2024</w:t>
      </w:r>
      <w:r>
        <w:tab/>
        <w:t xml:space="preserve">Planning Board </w:t>
      </w:r>
      <w:r w:rsidR="00433DC2">
        <w:t>Public Hearing Second Notice published</w:t>
      </w:r>
    </w:p>
    <w:p w14:paraId="0471684C" w14:textId="57E680E0" w:rsidR="00433DC2" w:rsidRDefault="00EC5CF5" w:rsidP="00EC5CF5">
      <w:pPr>
        <w:spacing w:after="0" w:line="240" w:lineRule="auto"/>
      </w:pPr>
      <w:r>
        <w:t>February 15, 2024</w:t>
      </w:r>
      <w:r>
        <w:tab/>
      </w:r>
      <w:r w:rsidR="00433DC2">
        <w:t>P</w:t>
      </w:r>
      <w:r>
        <w:t xml:space="preserve">lanning Board </w:t>
      </w:r>
      <w:r w:rsidR="00433DC2">
        <w:t xml:space="preserve">Public Hearing </w:t>
      </w:r>
    </w:p>
    <w:p w14:paraId="286CF9FE" w14:textId="77777777" w:rsidR="00433DC2" w:rsidRDefault="00433DC2" w:rsidP="00433DC2">
      <w:pPr>
        <w:spacing w:after="0" w:line="240" w:lineRule="auto"/>
        <w:ind w:left="1440" w:firstLine="720"/>
      </w:pPr>
      <w:r>
        <w:t>Advisory Board Vote</w:t>
      </w:r>
    </w:p>
    <w:p w14:paraId="14D0CB2F" w14:textId="0181871A" w:rsidR="00433DC2" w:rsidRDefault="00EC5CF5" w:rsidP="00433DC2">
      <w:pPr>
        <w:spacing w:after="0" w:line="240" w:lineRule="auto"/>
        <w:ind w:left="1440" w:firstLine="720"/>
      </w:pPr>
      <w:r>
        <w:t xml:space="preserve">Planning </w:t>
      </w:r>
      <w:r w:rsidR="00433DC2">
        <w:t>B</w:t>
      </w:r>
      <w:r>
        <w:t xml:space="preserve">oard </w:t>
      </w:r>
      <w:r w:rsidR="00433DC2">
        <w:t>recommendation vote</w:t>
      </w:r>
    </w:p>
    <w:p w14:paraId="4B403E52" w14:textId="2509FA5C" w:rsidR="006872EF" w:rsidRDefault="00433DC2" w:rsidP="00433DC2">
      <w:pPr>
        <w:spacing w:after="0" w:line="240" w:lineRule="auto"/>
        <w:ind w:left="1440" w:firstLine="720"/>
      </w:pPr>
      <w:r>
        <w:t>P</w:t>
      </w:r>
      <w:r w:rsidR="00EC5CF5">
        <w:t xml:space="preserve">lanning Board </w:t>
      </w:r>
      <w:r w:rsidR="006872EF">
        <w:t>Report to ATM:</w:t>
      </w:r>
    </w:p>
    <w:p w14:paraId="59D7CC03" w14:textId="2A67EBC1" w:rsidR="008F46A3" w:rsidRDefault="008F46A3" w:rsidP="00EC5CF5">
      <w:pPr>
        <w:spacing w:after="0" w:line="240" w:lineRule="auto"/>
      </w:pPr>
      <w:r>
        <w:t>May</w:t>
      </w:r>
      <w:r w:rsidR="000645DC">
        <w:t xml:space="preserve"> </w:t>
      </w:r>
      <w:r w:rsidR="00EC5CF5">
        <w:t xml:space="preserve">6, </w:t>
      </w:r>
      <w:r w:rsidR="000645DC">
        <w:t>2024</w:t>
      </w:r>
      <w:r>
        <w:t xml:space="preserve"> </w:t>
      </w:r>
      <w:r w:rsidR="00EC5CF5">
        <w:tab/>
      </w:r>
      <w:r w:rsidR="00EC5CF5">
        <w:tab/>
        <w:t>Annual Town Meeting</w:t>
      </w:r>
    </w:p>
    <w:sectPr w:rsidR="008F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6E83"/>
    <w:multiLevelType w:val="hybridMultilevel"/>
    <w:tmpl w:val="0DA4C6C4"/>
    <w:lvl w:ilvl="0" w:tplc="D01C4B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B1C55"/>
    <w:multiLevelType w:val="hybridMultilevel"/>
    <w:tmpl w:val="96944A9A"/>
    <w:lvl w:ilvl="0" w:tplc="E4040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208B4"/>
    <w:multiLevelType w:val="hybridMultilevel"/>
    <w:tmpl w:val="8E780A50"/>
    <w:lvl w:ilvl="0" w:tplc="9340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6159B"/>
    <w:multiLevelType w:val="hybridMultilevel"/>
    <w:tmpl w:val="A2C0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069208">
    <w:abstractNumId w:val="2"/>
  </w:num>
  <w:num w:numId="2" w16cid:durableId="1375420102">
    <w:abstractNumId w:val="0"/>
  </w:num>
  <w:num w:numId="3" w16cid:durableId="932589115">
    <w:abstractNumId w:val="3"/>
  </w:num>
  <w:num w:numId="4" w16cid:durableId="1806316533">
    <w:abstractNumId w:val="1"/>
  </w:num>
  <w:num w:numId="5" w16cid:durableId="2114402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F6"/>
    <w:rsid w:val="000645DC"/>
    <w:rsid w:val="000E60BE"/>
    <w:rsid w:val="001A3B48"/>
    <w:rsid w:val="003F72F6"/>
    <w:rsid w:val="00401D63"/>
    <w:rsid w:val="00416D6E"/>
    <w:rsid w:val="00433DC2"/>
    <w:rsid w:val="00630E28"/>
    <w:rsid w:val="00681762"/>
    <w:rsid w:val="006872EF"/>
    <w:rsid w:val="0073327F"/>
    <w:rsid w:val="00751ED0"/>
    <w:rsid w:val="007D0460"/>
    <w:rsid w:val="008F46A3"/>
    <w:rsid w:val="00B81BA7"/>
    <w:rsid w:val="00EC5CF5"/>
    <w:rsid w:val="00EC7A8C"/>
    <w:rsid w:val="00F553AE"/>
    <w:rsid w:val="00F662C0"/>
    <w:rsid w:val="00F9053F"/>
    <w:rsid w:val="00FC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E686"/>
  <w15:chartTrackingRefBased/>
  <w15:docId w15:val="{6BE4F229-1B18-4C93-8048-E023DDC6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6"/>
    <w:pPr>
      <w:ind w:left="720"/>
      <w:contextualSpacing/>
    </w:pPr>
  </w:style>
  <w:style w:type="character" w:styleId="CommentReference">
    <w:name w:val="annotation reference"/>
    <w:basedOn w:val="DefaultParagraphFont"/>
    <w:uiPriority w:val="99"/>
    <w:semiHidden/>
    <w:unhideWhenUsed/>
    <w:rsid w:val="000E60BE"/>
    <w:rPr>
      <w:sz w:val="16"/>
      <w:szCs w:val="16"/>
    </w:rPr>
  </w:style>
  <w:style w:type="paragraph" w:styleId="CommentText">
    <w:name w:val="annotation text"/>
    <w:basedOn w:val="Normal"/>
    <w:link w:val="CommentTextChar"/>
    <w:uiPriority w:val="99"/>
    <w:unhideWhenUsed/>
    <w:rsid w:val="000E60BE"/>
    <w:pPr>
      <w:spacing w:line="240" w:lineRule="auto"/>
    </w:pPr>
    <w:rPr>
      <w:sz w:val="20"/>
      <w:szCs w:val="20"/>
    </w:rPr>
  </w:style>
  <w:style w:type="character" w:customStyle="1" w:styleId="CommentTextChar">
    <w:name w:val="Comment Text Char"/>
    <w:basedOn w:val="DefaultParagraphFont"/>
    <w:link w:val="CommentText"/>
    <w:uiPriority w:val="99"/>
    <w:rsid w:val="000E60BE"/>
    <w:rPr>
      <w:sz w:val="20"/>
      <w:szCs w:val="20"/>
    </w:rPr>
  </w:style>
  <w:style w:type="paragraph" w:styleId="CommentSubject">
    <w:name w:val="annotation subject"/>
    <w:basedOn w:val="CommentText"/>
    <w:next w:val="CommentText"/>
    <w:link w:val="CommentSubjectChar"/>
    <w:uiPriority w:val="99"/>
    <w:semiHidden/>
    <w:unhideWhenUsed/>
    <w:rsid w:val="000E60BE"/>
    <w:rPr>
      <w:b/>
      <w:bCs/>
    </w:rPr>
  </w:style>
  <w:style w:type="character" w:customStyle="1" w:styleId="CommentSubjectChar">
    <w:name w:val="Comment Subject Char"/>
    <w:basedOn w:val="CommentTextChar"/>
    <w:link w:val="CommentSubject"/>
    <w:uiPriority w:val="99"/>
    <w:semiHidden/>
    <w:rsid w:val="000E6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6284">
      <w:bodyDiv w:val="1"/>
      <w:marLeft w:val="0"/>
      <w:marRight w:val="0"/>
      <w:marTop w:val="0"/>
      <w:marBottom w:val="0"/>
      <w:divBdr>
        <w:top w:val="none" w:sz="0" w:space="0" w:color="auto"/>
        <w:left w:val="none" w:sz="0" w:space="0" w:color="auto"/>
        <w:bottom w:val="none" w:sz="0" w:space="0" w:color="auto"/>
        <w:right w:val="none" w:sz="0" w:space="0" w:color="auto"/>
      </w:divBdr>
    </w:div>
    <w:div w:id="9118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Quirk</dc:creator>
  <cp:keywords/>
  <dc:description/>
  <cp:lastModifiedBy>Ilana Quirk</cp:lastModifiedBy>
  <cp:revision>2</cp:revision>
  <dcterms:created xsi:type="dcterms:W3CDTF">2024-01-31T19:32:00Z</dcterms:created>
  <dcterms:modified xsi:type="dcterms:W3CDTF">2024-01-31T19:32:00Z</dcterms:modified>
</cp:coreProperties>
</file>